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F16DB" w:rsidRDefault="004330C6" w:rsidP="003817D3">
      <w:pPr>
        <w:rPr>
          <w:rFonts w:ascii="Arial" w:hAnsi="Arial"/>
          <w:b/>
          <w:color w:val="000000" w:themeColor="text1"/>
          <w:sz w:val="28"/>
          <w:bdr w:val="none" w:sz="0" w:space="0" w:color="auto" w:frame="1"/>
        </w:rPr>
      </w:pPr>
      <w:r w:rsidRPr="008F16DB">
        <w:rPr>
          <w:rFonts w:ascii="Calibri" w:hAnsi="Calibri"/>
          <w:sz w:val="52"/>
        </w:rPr>
        <w:t>Nota de prensa</w:t>
      </w:r>
    </w:p>
    <w:p w14:paraId="230558DA" w14:textId="61A55546" w:rsidR="004330C6" w:rsidRPr="008F16DB" w:rsidRDefault="004330C6" w:rsidP="003817D3">
      <w:pPr>
        <w:rPr>
          <w:rFonts w:ascii="Arial" w:hAnsi="Arial"/>
          <w:b/>
          <w:color w:val="000000" w:themeColor="text1"/>
          <w:sz w:val="28"/>
          <w:bdr w:val="none" w:sz="0" w:space="0" w:color="auto" w:frame="1"/>
        </w:rPr>
      </w:pPr>
    </w:p>
    <w:p w14:paraId="1F2E7A7D" w14:textId="77777777" w:rsidR="004330C6" w:rsidRPr="008F16DB" w:rsidRDefault="004330C6" w:rsidP="003817D3">
      <w:pPr>
        <w:rPr>
          <w:rFonts w:ascii="Arial" w:hAnsi="Arial"/>
          <w:b/>
          <w:color w:val="000000" w:themeColor="text1"/>
          <w:sz w:val="28"/>
          <w:bdr w:val="none" w:sz="0" w:space="0" w:color="auto" w:frame="1"/>
        </w:rPr>
      </w:pPr>
    </w:p>
    <w:p w14:paraId="39088B19" w14:textId="66222706" w:rsidR="00BD53E0" w:rsidRPr="008F16DB" w:rsidRDefault="00006731" w:rsidP="00983DED">
      <w:pPr>
        <w:rPr>
          <w:rFonts w:ascii="Calibri" w:hAnsi="Calibri" w:cs="Calibri"/>
          <w:b/>
          <w:sz w:val="44"/>
          <w:szCs w:val="44"/>
        </w:rPr>
      </w:pPr>
      <w:proofErr w:type="spellStart"/>
      <w:r w:rsidRPr="008F16DB">
        <w:rPr>
          <w:rFonts w:ascii="Calibri" w:hAnsi="Calibri"/>
          <w:b/>
          <w:sz w:val="44"/>
          <w:szCs w:val="44"/>
        </w:rPr>
        <w:t>Shape</w:t>
      </w:r>
      <w:proofErr w:type="spellEnd"/>
      <w:r w:rsidRPr="008F16DB">
        <w:rPr>
          <w:rFonts w:ascii="Calibri" w:hAnsi="Calibri"/>
          <w:b/>
          <w:sz w:val="44"/>
          <w:szCs w:val="44"/>
        </w:rPr>
        <w:t xml:space="preserve"> Spaces. </w:t>
      </w:r>
      <w:proofErr w:type="spellStart"/>
      <w:r w:rsidRPr="008F16DB">
        <w:rPr>
          <w:rFonts w:ascii="Calibri" w:hAnsi="Calibri"/>
          <w:b/>
          <w:sz w:val="44"/>
          <w:szCs w:val="44"/>
        </w:rPr>
        <w:t>Create</w:t>
      </w:r>
      <w:proofErr w:type="spellEnd"/>
      <w:r w:rsidRPr="008F16DB">
        <w:rPr>
          <w:rFonts w:ascii="Calibri" w:hAnsi="Calibri"/>
          <w:b/>
          <w:sz w:val="44"/>
          <w:szCs w:val="44"/>
        </w:rPr>
        <w:t xml:space="preserve"> </w:t>
      </w:r>
      <w:proofErr w:type="spellStart"/>
      <w:r w:rsidRPr="008F16DB">
        <w:rPr>
          <w:rFonts w:ascii="Calibri" w:hAnsi="Calibri"/>
          <w:b/>
          <w:sz w:val="44"/>
          <w:szCs w:val="44"/>
        </w:rPr>
        <w:t>Motion</w:t>
      </w:r>
      <w:proofErr w:type="spellEnd"/>
      <w:r w:rsidRPr="008F16DB">
        <w:rPr>
          <w:rFonts w:ascii="Calibri" w:hAnsi="Calibri"/>
          <w:b/>
          <w:sz w:val="44"/>
          <w:szCs w:val="44"/>
        </w:rPr>
        <w:t xml:space="preserve">: </w:t>
      </w:r>
      <w:r w:rsidRPr="008F16DB">
        <w:rPr>
          <w:rFonts w:ascii="Calibri" w:hAnsi="Calibri"/>
          <w:b/>
          <w:sz w:val="44"/>
        </w:rPr>
        <w:t>Cameo amplía la serie OTOS® con las nuevas barras móviles IP65 OTOS® LC12 y OTOS® L16</w:t>
      </w:r>
    </w:p>
    <w:p w14:paraId="4E4C6F6C" w14:textId="77777777" w:rsidR="00006731" w:rsidRPr="008F16DB" w:rsidRDefault="00006731" w:rsidP="00983DED">
      <w:pPr>
        <w:rPr>
          <w:rFonts w:ascii="Calibri" w:hAnsi="Calibri" w:cs="Calibri"/>
          <w:b/>
          <w:color w:val="000000" w:themeColor="text1"/>
          <w:sz w:val="44"/>
          <w:szCs w:val="44"/>
        </w:rPr>
      </w:pPr>
    </w:p>
    <w:p w14:paraId="7E984434" w14:textId="0B802CB7" w:rsidR="002544C4" w:rsidRPr="008F16DB" w:rsidRDefault="00983DED" w:rsidP="00CC419B">
      <w:pPr>
        <w:rPr>
          <w:rFonts w:ascii="Calibri" w:hAnsi="Calibri" w:cs="Calibri"/>
          <w:b/>
          <w:bCs/>
          <w:color w:val="000000" w:themeColor="text1"/>
          <w:sz w:val="22"/>
          <w:szCs w:val="22"/>
          <w:bdr w:val="none" w:sz="0" w:space="0" w:color="auto" w:frame="1"/>
        </w:rPr>
      </w:pPr>
      <w:proofErr w:type="spellStart"/>
      <w:r w:rsidRPr="008F16DB">
        <w:rPr>
          <w:rFonts w:ascii="Calibri" w:hAnsi="Calibri"/>
          <w:b/>
          <w:color w:val="0D0D0D" w:themeColor="text1" w:themeTint="F2"/>
          <w:sz w:val="22"/>
          <w:bdr w:val="none" w:sz="0" w:space="0" w:color="auto" w:frame="1"/>
        </w:rPr>
        <w:t>Neu-Anspach</w:t>
      </w:r>
      <w:proofErr w:type="spellEnd"/>
      <w:r w:rsidRPr="008F16DB">
        <w:rPr>
          <w:rFonts w:ascii="Calibri" w:hAnsi="Calibri"/>
          <w:b/>
          <w:color w:val="0D0D0D" w:themeColor="text1" w:themeTint="F2"/>
          <w:sz w:val="22"/>
          <w:bdr w:val="none" w:sz="0" w:space="0" w:color="auto" w:frame="1"/>
        </w:rPr>
        <w:t xml:space="preserve">, Alemania – </w:t>
      </w:r>
      <w:r w:rsidRPr="008F16DB">
        <w:rPr>
          <w:rFonts w:ascii="Calibri" w:hAnsi="Calibri"/>
          <w:b/>
          <w:sz w:val="22"/>
          <w:bdr w:val="none" w:sz="0" w:space="0" w:color="auto" w:frame="1"/>
        </w:rPr>
        <w:t xml:space="preserve">23 de abril de 2026 </w:t>
      </w:r>
      <w:r w:rsidRPr="008F16DB">
        <w:rPr>
          <w:rFonts w:ascii="Calibri" w:hAnsi="Calibri"/>
          <w:b/>
          <w:color w:val="0D0D0D" w:themeColor="text1" w:themeTint="F2"/>
          <w:sz w:val="22"/>
          <w:bdr w:val="none" w:sz="0" w:space="0" w:color="auto" w:frame="1"/>
        </w:rPr>
        <w:t>–</w:t>
      </w:r>
      <w:r w:rsidRPr="008F16DB">
        <w:rPr>
          <w:rFonts w:ascii="Calibri" w:hAnsi="Calibri"/>
          <w:b/>
          <w:color w:val="000000" w:themeColor="text1"/>
          <w:sz w:val="22"/>
          <w:bdr w:val="none" w:sz="0" w:space="0" w:color="auto" w:frame="1"/>
        </w:rPr>
        <w:t xml:space="preserve"> Con los modelos OTOS LC12 y OTOS L16, Cameo amplía la serie OTOS con dos soluciones lineales con certificación IP65 para escenarios de iluminación dinámica en el sector de eventos y giras. De acuerdo con el lema «Da forma a los espacios. Crea movimiento», ambos modelos están dirigidos a diseñadores de iluminación, empresas de alquiler y proveedores de servicios de producción que quieran conseguir ambientes precisos, dinámicos y visualmente coherentes tanto en interiores como en exteriores. Los usuarios también se beneficiarán de colores y estilos coherentes en toda la serie OTOS, así como de posibilidades creativas versátiles y un manejo práctico.</w:t>
      </w:r>
    </w:p>
    <w:p w14:paraId="12E3800C" w14:textId="77777777" w:rsidR="002544C4" w:rsidRPr="008F16DB" w:rsidRDefault="002544C4" w:rsidP="00CC419B">
      <w:pPr>
        <w:rPr>
          <w:rFonts w:ascii="Calibri" w:hAnsi="Calibri" w:cs="Calibri"/>
          <w:b/>
          <w:bCs/>
          <w:color w:val="000000" w:themeColor="text1"/>
          <w:sz w:val="22"/>
          <w:szCs w:val="22"/>
          <w:bdr w:val="none" w:sz="0" w:space="0" w:color="auto" w:frame="1"/>
        </w:rPr>
      </w:pPr>
    </w:p>
    <w:p w14:paraId="14EE00EB" w14:textId="198302E3" w:rsidR="00006731" w:rsidRPr="008F16DB" w:rsidRDefault="00006731" w:rsidP="00006731">
      <w:pPr>
        <w:rPr>
          <w:rFonts w:ascii="Calibri" w:hAnsi="Calibri" w:cs="Calibri"/>
          <w:sz w:val="22"/>
          <w:szCs w:val="22"/>
        </w:rPr>
      </w:pPr>
      <w:r w:rsidRPr="008F16DB">
        <w:rPr>
          <w:rFonts w:ascii="Calibri" w:hAnsi="Calibri"/>
          <w:sz w:val="22"/>
        </w:rPr>
        <w:t>Ya sean superficies luminosas densas y expansivas, movimientos ondulatorios fluidos, montajes gráficos pixelados, efectos de rampa y persecución o potentes acentos estroboscópicos, las nuevas soluciones OTOS Linear se han desarrollado para una amplia gama de aplicaciones. Mientras que OTOS LC12 permite imágenes luminosas orgánicas y cinéticas y efectos de luz frontal variables, sobre todo con sus cabezales inclinables individualmente, OTOS L16 se centra en líneas claras y patrones de movimiento precisos y simétricos. En combinación entre sí, así como con los demás modelos OTOS </w:t>
      </w:r>
      <w:proofErr w:type="spellStart"/>
      <w:r w:rsidRPr="008F16DB">
        <w:rPr>
          <w:rFonts w:ascii="Calibri" w:hAnsi="Calibri"/>
          <w:sz w:val="22"/>
        </w:rPr>
        <w:t>Wash</w:t>
      </w:r>
      <w:proofErr w:type="spellEnd"/>
      <w:r w:rsidRPr="008F16DB">
        <w:rPr>
          <w:rFonts w:ascii="Calibri" w:hAnsi="Calibri"/>
          <w:sz w:val="22"/>
        </w:rPr>
        <w:t>, las barras móviles añaden una nueva dimensión lineal al espectro creativo de la serie Cameo OTOS.</w:t>
      </w:r>
    </w:p>
    <w:p w14:paraId="09A5E8E7" w14:textId="77777777" w:rsidR="00006731" w:rsidRPr="008F16DB" w:rsidRDefault="00006731" w:rsidP="00006731">
      <w:pPr>
        <w:rPr>
          <w:rFonts w:ascii="Calibri" w:hAnsi="Calibri" w:cs="Calibri"/>
          <w:sz w:val="22"/>
          <w:szCs w:val="22"/>
        </w:rPr>
      </w:pPr>
    </w:p>
    <w:p w14:paraId="3CE49BDE" w14:textId="159E250D" w:rsidR="00006731" w:rsidRPr="008F16DB" w:rsidRDefault="00006731" w:rsidP="00006731">
      <w:pPr>
        <w:rPr>
          <w:rFonts w:ascii="Calibri" w:hAnsi="Calibri" w:cs="Calibri"/>
          <w:b/>
          <w:bCs/>
          <w:sz w:val="22"/>
          <w:szCs w:val="22"/>
        </w:rPr>
      </w:pPr>
      <w:r w:rsidRPr="008F16DB">
        <w:rPr>
          <w:rFonts w:ascii="Calibri" w:hAnsi="Calibri"/>
          <w:b/>
          <w:sz w:val="22"/>
        </w:rPr>
        <w:t>OTOS LC12</w:t>
      </w:r>
    </w:p>
    <w:p w14:paraId="293C6519" w14:textId="399B1918" w:rsidR="00006731" w:rsidRPr="008F16DB" w:rsidRDefault="00006731" w:rsidP="00006731">
      <w:pPr>
        <w:rPr>
          <w:rFonts w:ascii="Calibri" w:hAnsi="Calibri" w:cs="Calibri"/>
          <w:sz w:val="22"/>
          <w:szCs w:val="22"/>
        </w:rPr>
      </w:pPr>
      <w:r w:rsidRPr="008F16DB">
        <w:rPr>
          <w:rFonts w:ascii="Calibri" w:hAnsi="Calibri"/>
          <w:sz w:val="22"/>
        </w:rPr>
        <w:t xml:space="preserve">OTOS LC12 transforma la luz en formas fluidas, permitiendo espectaculares efectos de movimiento. La barra móvil IP65 cuenta con doce cabezales móviles de 50 W, cada uno con ajuste individual de inclinación y </w:t>
      </w:r>
      <w:proofErr w:type="gramStart"/>
      <w:r w:rsidRPr="008F16DB">
        <w:rPr>
          <w:rFonts w:ascii="Calibri" w:hAnsi="Calibri"/>
          <w:sz w:val="22"/>
        </w:rPr>
        <w:t>zoom</w:t>
      </w:r>
      <w:proofErr w:type="gramEnd"/>
      <w:r w:rsidRPr="008F16DB">
        <w:rPr>
          <w:rFonts w:ascii="Calibri" w:hAnsi="Calibri"/>
          <w:sz w:val="22"/>
        </w:rPr>
        <w:t xml:space="preserve">, y un sistema de mezcla de colores RGBL. Con una inclinación de hasta 206° por cabezal, </w:t>
      </w:r>
      <w:proofErr w:type="gramStart"/>
      <w:r w:rsidRPr="008F16DB">
        <w:rPr>
          <w:rFonts w:ascii="Calibri" w:hAnsi="Calibri"/>
          <w:sz w:val="22"/>
        </w:rPr>
        <w:t>zoom</w:t>
      </w:r>
      <w:proofErr w:type="gramEnd"/>
      <w:r w:rsidRPr="008F16DB">
        <w:rPr>
          <w:rFonts w:ascii="Calibri" w:hAnsi="Calibri"/>
          <w:sz w:val="22"/>
        </w:rPr>
        <w:t xml:space="preserve"> individual (3,3°-40,5°), tira FX integrada y un rango CCT de 1800 a 10 000 Kelvin, OTOS LC12 es adecuado para creaciones de haz cinético y llamativos toques visuales, así como para efectos de color atmosférico y luz blanca.</w:t>
      </w:r>
    </w:p>
    <w:p w14:paraId="0CFF3492" w14:textId="77777777" w:rsidR="00006731" w:rsidRPr="008F16DB" w:rsidRDefault="00006731" w:rsidP="00006731">
      <w:pPr>
        <w:rPr>
          <w:rFonts w:ascii="Calibri" w:hAnsi="Calibri" w:cs="Calibri"/>
          <w:sz w:val="22"/>
          <w:szCs w:val="22"/>
        </w:rPr>
      </w:pPr>
    </w:p>
    <w:p w14:paraId="35907944" w14:textId="4060B75E" w:rsidR="00006731" w:rsidRPr="008F16DB" w:rsidRDefault="00006731" w:rsidP="00006731">
      <w:pPr>
        <w:rPr>
          <w:rFonts w:ascii="Calibri" w:hAnsi="Calibri" w:cs="Calibri"/>
          <w:b/>
          <w:bCs/>
          <w:sz w:val="22"/>
          <w:szCs w:val="22"/>
        </w:rPr>
      </w:pPr>
      <w:r w:rsidRPr="008F16DB">
        <w:rPr>
          <w:rFonts w:ascii="Calibri" w:hAnsi="Calibri"/>
          <w:b/>
          <w:sz w:val="22"/>
        </w:rPr>
        <w:t>OTOS L16</w:t>
      </w:r>
    </w:p>
    <w:p w14:paraId="0288F056" w14:textId="52F59580" w:rsidR="00006731" w:rsidRPr="008F16DB" w:rsidRDefault="00006731" w:rsidP="00006731">
      <w:pPr>
        <w:rPr>
          <w:rFonts w:ascii="Calibri" w:hAnsi="Calibri" w:cs="Calibri"/>
          <w:sz w:val="22"/>
          <w:szCs w:val="22"/>
        </w:rPr>
      </w:pPr>
      <w:r w:rsidRPr="008F16DB">
        <w:rPr>
          <w:rFonts w:ascii="Calibri" w:hAnsi="Calibri"/>
          <w:sz w:val="22"/>
        </w:rPr>
        <w:t xml:space="preserve">OTOS L16, que también cuenta con certificación IP65, complementa la cartera Linear con una barra móvil de LED para conseguir un aspecto preciso del haz, efectos simétricos y aplicaciones agrupadas sin fisuras. Equipado con 16 LED RGBL de 50 W, OTOS L16 genera una potencia luminosa total de 9000 lúmenes. Dos segmentos de </w:t>
      </w:r>
      <w:proofErr w:type="gramStart"/>
      <w:r w:rsidRPr="008F16DB">
        <w:rPr>
          <w:rFonts w:ascii="Calibri" w:hAnsi="Calibri"/>
          <w:sz w:val="22"/>
        </w:rPr>
        <w:t>zoom</w:t>
      </w:r>
      <w:proofErr w:type="gramEnd"/>
      <w:r w:rsidRPr="008F16DB">
        <w:rPr>
          <w:rFonts w:ascii="Calibri" w:hAnsi="Calibri"/>
          <w:sz w:val="22"/>
        </w:rPr>
        <w:t xml:space="preserve"> controlables independientemente (4,6°-37°), cada uno con ocho lentes, un rango de inclinación motorizado de 208° y la tira FX integrada hacen de la OTOS L16 una herramienta versátil para conseguir efectos de </w:t>
      </w:r>
      <w:proofErr w:type="gramStart"/>
      <w:r w:rsidRPr="008F16DB">
        <w:rPr>
          <w:rFonts w:ascii="Calibri" w:hAnsi="Calibri"/>
          <w:sz w:val="22"/>
        </w:rPr>
        <w:t>zoom</w:t>
      </w:r>
      <w:proofErr w:type="gramEnd"/>
      <w:r w:rsidRPr="008F16DB">
        <w:rPr>
          <w:rFonts w:ascii="Calibri" w:hAnsi="Calibri"/>
          <w:sz w:val="22"/>
        </w:rPr>
        <w:t xml:space="preserve"> dinámicos, patrones de luz fluidos y acentos dinámicos que van mucho más allá </w:t>
      </w:r>
      <w:r w:rsidRPr="008F16DB">
        <w:rPr>
          <w:rFonts w:ascii="Calibri" w:hAnsi="Calibri"/>
          <w:sz w:val="22"/>
        </w:rPr>
        <w:lastRenderedPageBreak/>
        <w:t>de las capacidades de una barra LED estática tradicional. Además, hay disponibles varios filtros opcionales (circular, asimétrico, oscuro, estructura de diamante) para obtener posibilidades creativas adicionales.</w:t>
      </w:r>
    </w:p>
    <w:p w14:paraId="5A78C36B" w14:textId="77777777" w:rsidR="00006731" w:rsidRPr="008F16DB" w:rsidRDefault="00006731" w:rsidP="00006731">
      <w:pPr>
        <w:rPr>
          <w:rFonts w:ascii="Calibri" w:hAnsi="Calibri" w:cs="Calibri"/>
          <w:sz w:val="22"/>
          <w:szCs w:val="22"/>
        </w:rPr>
      </w:pPr>
    </w:p>
    <w:p w14:paraId="65EDD835" w14:textId="77777777" w:rsidR="00006731" w:rsidRPr="008F16DB" w:rsidRDefault="00006731" w:rsidP="00006731">
      <w:pPr>
        <w:rPr>
          <w:rFonts w:ascii="Calibri" w:hAnsi="Calibri" w:cs="Calibri"/>
          <w:b/>
          <w:bCs/>
          <w:sz w:val="22"/>
          <w:szCs w:val="22"/>
        </w:rPr>
      </w:pPr>
      <w:r w:rsidRPr="008F16DB">
        <w:rPr>
          <w:rFonts w:ascii="Calibri" w:hAnsi="Calibri"/>
          <w:b/>
          <w:sz w:val="22"/>
        </w:rPr>
        <w:t>Colores uniformes y aspecto armonioso</w:t>
      </w:r>
    </w:p>
    <w:p w14:paraId="708C4F27" w14:textId="7B0B0954" w:rsidR="00006731" w:rsidRPr="008F16DB" w:rsidRDefault="00006731" w:rsidP="00006731">
      <w:pPr>
        <w:rPr>
          <w:rFonts w:ascii="Calibri" w:hAnsi="Calibri" w:cs="Calibri"/>
          <w:sz w:val="22"/>
          <w:szCs w:val="22"/>
        </w:rPr>
      </w:pPr>
      <w:r w:rsidRPr="008F16DB">
        <w:rPr>
          <w:rFonts w:ascii="Calibri" w:hAnsi="Calibri"/>
          <w:sz w:val="22"/>
        </w:rPr>
        <w:t>Una característica clave de los nuevos modelos OTOS Linear es la armonización visual y fotométrica dentro de toda la familia OTOS. Gracias a la mezcla uniforme de colores RGBL, las luminarias OTOS </w:t>
      </w:r>
      <w:proofErr w:type="spellStart"/>
      <w:r w:rsidRPr="008F16DB">
        <w:rPr>
          <w:rFonts w:ascii="Calibri" w:hAnsi="Calibri"/>
          <w:sz w:val="22"/>
        </w:rPr>
        <w:t>Wash</w:t>
      </w:r>
      <w:proofErr w:type="spellEnd"/>
      <w:r w:rsidRPr="008F16DB">
        <w:rPr>
          <w:rFonts w:ascii="Calibri" w:hAnsi="Calibri"/>
          <w:sz w:val="22"/>
        </w:rPr>
        <w:t xml:space="preserve"> y OTOS Linear producen colores uniformes, blancos equilibrados y efectos tridimensionales armoniosos en los distintos modelos. Complementados con FX-</w:t>
      </w:r>
      <w:proofErr w:type="spellStart"/>
      <w:r w:rsidRPr="008F16DB">
        <w:rPr>
          <w:rFonts w:ascii="Calibri" w:hAnsi="Calibri"/>
          <w:sz w:val="22"/>
        </w:rPr>
        <w:t>Strip</w:t>
      </w:r>
      <w:proofErr w:type="spellEnd"/>
      <w:r w:rsidRPr="008F16DB">
        <w:rPr>
          <w:rFonts w:ascii="Calibri" w:hAnsi="Calibri"/>
          <w:sz w:val="22"/>
        </w:rPr>
        <w:t xml:space="preserve">, FX-Ring y </w:t>
      </w:r>
      <w:proofErr w:type="gramStart"/>
      <w:r w:rsidRPr="008F16DB">
        <w:rPr>
          <w:rFonts w:ascii="Calibri" w:hAnsi="Calibri"/>
          <w:sz w:val="22"/>
        </w:rPr>
        <w:t>Single</w:t>
      </w:r>
      <w:proofErr w:type="gramEnd"/>
      <w:r w:rsidRPr="008F16DB">
        <w:rPr>
          <w:rFonts w:ascii="Calibri" w:hAnsi="Calibri"/>
          <w:sz w:val="22"/>
        </w:rPr>
        <w:t xml:space="preserve"> </w:t>
      </w:r>
      <w:proofErr w:type="gramStart"/>
      <w:r w:rsidRPr="008F16DB">
        <w:rPr>
          <w:rFonts w:ascii="Calibri" w:hAnsi="Calibri"/>
          <w:sz w:val="22"/>
        </w:rPr>
        <w:t>Pixel</w:t>
      </w:r>
      <w:proofErr w:type="gramEnd"/>
      <w:r w:rsidRPr="008F16DB">
        <w:rPr>
          <w:rFonts w:ascii="Calibri" w:hAnsi="Calibri"/>
          <w:sz w:val="22"/>
        </w:rPr>
        <w:t xml:space="preserve"> Control, los diseñadores de iluminación de Cameo pueden crear escenarios de iluminación consistentes y dinámicos con un fuerte impacto visual.</w:t>
      </w:r>
    </w:p>
    <w:p w14:paraId="51C58C92" w14:textId="77777777" w:rsidR="00006731" w:rsidRPr="008F16DB" w:rsidRDefault="00006731" w:rsidP="00006731">
      <w:pPr>
        <w:rPr>
          <w:rFonts w:ascii="Calibri" w:hAnsi="Calibri" w:cs="Calibri"/>
          <w:sz w:val="22"/>
          <w:szCs w:val="22"/>
        </w:rPr>
      </w:pPr>
    </w:p>
    <w:p w14:paraId="1D1E9B96" w14:textId="3F6819E7" w:rsidR="00006731" w:rsidRPr="008F16DB" w:rsidRDefault="00006731" w:rsidP="00006731">
      <w:pPr>
        <w:rPr>
          <w:rFonts w:ascii="Calibri" w:hAnsi="Calibri" w:cs="Calibri"/>
          <w:b/>
          <w:bCs/>
          <w:sz w:val="22"/>
          <w:szCs w:val="22"/>
        </w:rPr>
      </w:pPr>
      <w:r w:rsidRPr="008F16DB">
        <w:rPr>
          <w:rFonts w:ascii="Calibri" w:hAnsi="Calibri"/>
          <w:b/>
          <w:sz w:val="22"/>
        </w:rPr>
        <w:t>Diseño práctico</w:t>
      </w:r>
    </w:p>
    <w:p w14:paraId="4E68165D" w14:textId="49B6C169" w:rsidR="00006731" w:rsidRPr="008F16DB" w:rsidRDefault="00006731" w:rsidP="00006731">
      <w:pPr>
        <w:rPr>
          <w:rFonts w:ascii="Calibri" w:hAnsi="Calibri" w:cs="Calibri"/>
          <w:sz w:val="22"/>
          <w:szCs w:val="22"/>
        </w:rPr>
      </w:pPr>
      <w:r w:rsidRPr="008F16DB">
        <w:rPr>
          <w:rFonts w:ascii="Calibri" w:hAnsi="Calibri"/>
          <w:sz w:val="22"/>
        </w:rPr>
        <w:t xml:space="preserve">Además de las posibilidades creativas, un punto clave en el desarrollo de ambos modelos fue el uso práctico cotidiano. OTOS LC12 y OTOS L16 tienen una robusta carcasa IP65 para un uso exigente en exteriores y en viajes, asas colocadas de forma práctica para un manejo rápido y cómodo y un mecanismo de bloqueo rápido para un aparejo eficaz. Gracias a </w:t>
      </w:r>
      <w:proofErr w:type="spellStart"/>
      <w:r w:rsidRPr="008F16DB">
        <w:rPr>
          <w:rFonts w:ascii="Calibri" w:hAnsi="Calibri"/>
          <w:sz w:val="22"/>
        </w:rPr>
        <w:t>Seamless</w:t>
      </w:r>
      <w:proofErr w:type="spellEnd"/>
      <w:r w:rsidRPr="008F16DB">
        <w:rPr>
          <w:rFonts w:ascii="Calibri" w:hAnsi="Calibri"/>
          <w:sz w:val="22"/>
        </w:rPr>
        <w:t> </w:t>
      </w:r>
      <w:proofErr w:type="spellStart"/>
      <w:r w:rsidRPr="008F16DB">
        <w:rPr>
          <w:rFonts w:ascii="Calibri" w:hAnsi="Calibri"/>
          <w:sz w:val="22"/>
        </w:rPr>
        <w:t>Clustering</w:t>
      </w:r>
      <w:proofErr w:type="spellEnd"/>
      <w:r w:rsidRPr="008F16DB">
        <w:rPr>
          <w:rFonts w:ascii="Calibri" w:hAnsi="Calibri"/>
          <w:sz w:val="22"/>
        </w:rPr>
        <w:t>, ambos modelos también pueden combinarse a la perfección para crear transiciones suaves entre varias unidades: perfecto para conceptos de iluminación escalables en escenarios en directo, en festivales, en producciones de TV, para eventos corporativos o en instalaciones arquitectónicas. Para un transporte fácil y sin problemas, Cameo también suministra OTOS LC12 con una cubierta de bloqueo de inclinación que sujeta firmemente los doce cabezales basculantes.</w:t>
      </w:r>
    </w:p>
    <w:p w14:paraId="4DBCDE72" w14:textId="77777777" w:rsidR="00EE3473" w:rsidRPr="008F16DB" w:rsidRDefault="00EE3473" w:rsidP="00006731">
      <w:pPr>
        <w:rPr>
          <w:rFonts w:ascii="Calibri" w:hAnsi="Calibri" w:cs="Calibri"/>
          <w:sz w:val="22"/>
          <w:szCs w:val="22"/>
        </w:rPr>
      </w:pPr>
    </w:p>
    <w:p w14:paraId="440D2B4B" w14:textId="49636949" w:rsidR="008C0D7E" w:rsidRPr="008F16DB" w:rsidRDefault="00006731" w:rsidP="00006731">
      <w:pPr>
        <w:rPr>
          <w:rFonts w:ascii="Calibri" w:hAnsi="Calibri" w:cs="Calibri"/>
          <w:sz w:val="22"/>
          <w:szCs w:val="22"/>
        </w:rPr>
      </w:pPr>
      <w:r w:rsidRPr="008F16DB">
        <w:rPr>
          <w:rFonts w:ascii="Calibri" w:hAnsi="Calibri"/>
          <w:sz w:val="22"/>
        </w:rPr>
        <w:t>Ya están disponibles los nuevos OTOS LC12 y OTOS L16 de Cameo.</w:t>
      </w:r>
    </w:p>
    <w:p w14:paraId="236E62B2" w14:textId="77777777" w:rsidR="00CC419B" w:rsidRPr="008F16DB" w:rsidRDefault="00CC419B" w:rsidP="00CC419B">
      <w:pPr>
        <w:rPr>
          <w:rFonts w:ascii="Calibri" w:hAnsi="Calibri" w:cs="Calibri"/>
          <w:color w:val="000000" w:themeColor="text1"/>
          <w:sz w:val="22"/>
          <w:szCs w:val="22"/>
        </w:rPr>
      </w:pPr>
    </w:p>
    <w:p w14:paraId="3671C46F" w14:textId="608E5AA8" w:rsidR="003A6419" w:rsidRPr="008F16DB" w:rsidRDefault="00A523EA" w:rsidP="006D2E7A">
      <w:pPr>
        <w:pStyle w:val="KeinLeerraum"/>
        <w:rPr>
          <w:rFonts w:ascii="Calibri" w:hAnsi="Calibri" w:cs="Calibri"/>
          <w:color w:val="000000" w:themeColor="text1"/>
          <w:kern w:val="22"/>
          <w:sz w:val="22"/>
          <w:szCs w:val="22"/>
        </w:rPr>
      </w:pPr>
      <w:r w:rsidRPr="008F16DB">
        <w:rPr>
          <w:rFonts w:ascii="Calibri" w:hAnsi="Calibri"/>
          <w:kern w:val="22"/>
          <w:sz w:val="22"/>
        </w:rPr>
        <w:t>#</w:t>
      </w:r>
      <w:proofErr w:type="gramStart"/>
      <w:r w:rsidRPr="008F16DB">
        <w:rPr>
          <w:rFonts w:ascii="Calibri" w:hAnsi="Calibri"/>
          <w:kern w:val="22"/>
          <w:sz w:val="22"/>
        </w:rPr>
        <w:t xml:space="preserve">Cameo  #ForLumenBeings  </w:t>
      </w:r>
      <w:r w:rsidRPr="008F16DB">
        <w:rPr>
          <w:rFonts w:ascii="Calibri" w:hAnsi="Calibri"/>
          <w:color w:val="0D0D0D" w:themeColor="text1" w:themeTint="F2"/>
          <w:kern w:val="22"/>
          <w:sz w:val="22"/>
        </w:rPr>
        <w:t>#ProLighting  #</w:t>
      </w:r>
      <w:proofErr w:type="gramEnd"/>
      <w:r w:rsidRPr="008F16DB">
        <w:rPr>
          <w:rFonts w:ascii="Calibri" w:hAnsi="Calibri"/>
          <w:color w:val="0D0D0D" w:themeColor="text1" w:themeTint="F2"/>
          <w:kern w:val="22"/>
          <w:sz w:val="22"/>
        </w:rPr>
        <w:t>EngineeringFascination</w:t>
      </w:r>
    </w:p>
    <w:p w14:paraId="2BF223E0" w14:textId="77777777" w:rsidR="00A523EA" w:rsidRPr="008F16DB" w:rsidRDefault="00A523EA" w:rsidP="006D2E7A">
      <w:pPr>
        <w:pStyle w:val="KeinLeerraum"/>
        <w:rPr>
          <w:rFonts w:ascii="Calibri" w:hAnsi="Calibri" w:cs="Calibri"/>
          <w:color w:val="0D0D0D" w:themeColor="text1" w:themeTint="F2"/>
          <w:sz w:val="22"/>
          <w:szCs w:val="22"/>
          <w:highlight w:val="yellow"/>
        </w:rPr>
      </w:pPr>
    </w:p>
    <w:p w14:paraId="45899D35" w14:textId="24899B17" w:rsidR="00E05A29" w:rsidRPr="008F16DB" w:rsidRDefault="006D2E7A" w:rsidP="00E05A29">
      <w:pPr>
        <w:rPr>
          <w:rStyle w:val="Hyperlink"/>
          <w:rFonts w:ascii="Calibri" w:hAnsi="Calibri" w:cs="Calibri"/>
          <w:sz w:val="22"/>
          <w:szCs w:val="22"/>
        </w:rPr>
      </w:pPr>
      <w:r w:rsidRPr="008F16DB">
        <w:rPr>
          <w:rFonts w:ascii="Calibri" w:hAnsi="Calibri"/>
          <w:b/>
          <w:sz w:val="22"/>
        </w:rPr>
        <w:t xml:space="preserve">Más información en: </w:t>
      </w:r>
    </w:p>
    <w:p w14:paraId="69E1E3FD" w14:textId="762E7D6E" w:rsidR="004F3D40" w:rsidRPr="008F16DB" w:rsidRDefault="00002429" w:rsidP="004F3D40">
      <w:pPr>
        <w:rPr>
          <w:rFonts w:ascii="Calibri" w:hAnsi="Calibri" w:cs="Calibri"/>
          <w:sz w:val="22"/>
          <w:szCs w:val="22"/>
        </w:rPr>
      </w:pPr>
      <w:hyperlink r:id="rId10" w:history="1">
        <w:r w:rsidRPr="008F16DB">
          <w:rPr>
            <w:rStyle w:val="Hyperlink"/>
            <w:rFonts w:ascii="Calibri" w:hAnsi="Calibri"/>
            <w:sz w:val="22"/>
          </w:rPr>
          <w:t>cameoligh</w:t>
        </w:r>
        <w:r w:rsidRPr="008F16DB">
          <w:rPr>
            <w:rStyle w:val="Hyperlink"/>
            <w:rFonts w:ascii="Calibri" w:hAnsi="Calibri"/>
            <w:sz w:val="22"/>
          </w:rPr>
          <w:t>t</w:t>
        </w:r>
        <w:r w:rsidRPr="008F16DB">
          <w:rPr>
            <w:rStyle w:val="Hyperlink"/>
            <w:rFonts w:ascii="Calibri" w:hAnsi="Calibri"/>
            <w:sz w:val="22"/>
          </w:rPr>
          <w:t>.com/</w:t>
        </w:r>
        <w:proofErr w:type="spellStart"/>
        <w:r w:rsidRPr="008F16DB">
          <w:rPr>
            <w:rStyle w:val="Hyperlink"/>
            <w:rFonts w:ascii="Calibri" w:hAnsi="Calibri"/>
            <w:sz w:val="22"/>
          </w:rPr>
          <w:t>otos-linears</w:t>
        </w:r>
        <w:proofErr w:type="spellEnd"/>
      </w:hyperlink>
    </w:p>
    <w:p w14:paraId="579C3CBA" w14:textId="33EB0458" w:rsidR="004F3D40" w:rsidRPr="007B6BAB" w:rsidRDefault="007B6BAB" w:rsidP="00E05A29">
      <w:pPr>
        <w:rPr>
          <w:rFonts w:ascii="Calibri" w:hAnsi="Calibri" w:cs="Calibri"/>
          <w:bCs/>
          <w:sz w:val="22"/>
          <w:szCs w:val="22"/>
        </w:rPr>
      </w:pPr>
      <w:hyperlink r:id="rId11" w:history="1">
        <w:r>
          <w:rPr>
            <w:rStyle w:val="Hyperlink"/>
            <w:rFonts w:ascii="Calibri" w:hAnsi="Calibri" w:cs="Calibri"/>
            <w:bCs/>
            <w:sz w:val="22"/>
            <w:szCs w:val="22"/>
          </w:rPr>
          <w:t xml:space="preserve">OTOS </w:t>
        </w:r>
        <w:proofErr w:type="spellStart"/>
        <w:r>
          <w:rPr>
            <w:rStyle w:val="Hyperlink"/>
            <w:rFonts w:ascii="Calibri" w:hAnsi="Calibri" w:cs="Calibri"/>
            <w:bCs/>
            <w:sz w:val="22"/>
            <w:szCs w:val="22"/>
          </w:rPr>
          <w:t>Linears</w:t>
        </w:r>
        <w:proofErr w:type="spellEnd"/>
        <w:r>
          <w:rPr>
            <w:rStyle w:val="Hyperlink"/>
            <w:rFonts w:ascii="Calibri" w:hAnsi="Calibri" w:cs="Calibri"/>
            <w:bCs/>
            <w:sz w:val="22"/>
            <w:szCs w:val="22"/>
          </w:rPr>
          <w:t xml:space="preserve"> vídeo</w:t>
        </w:r>
      </w:hyperlink>
    </w:p>
    <w:p w14:paraId="0099F6AF" w14:textId="77777777" w:rsidR="00900E5E" w:rsidRPr="008F16DB" w:rsidRDefault="00900E5E" w:rsidP="00900E5E">
      <w:pPr>
        <w:rPr>
          <w:rStyle w:val="Hyperlink"/>
          <w:rFonts w:ascii="Calibri" w:eastAsia="Arial" w:hAnsi="Calibri" w:cs="Calibri"/>
          <w:b/>
          <w:bCs/>
          <w:color w:val="auto"/>
          <w:sz w:val="22"/>
          <w:szCs w:val="22"/>
          <w:u w:val="none"/>
        </w:rPr>
      </w:pPr>
      <w:hyperlink r:id="rId12" w:history="1">
        <w:r w:rsidRPr="008F16DB">
          <w:rPr>
            <w:rStyle w:val="Hyperlink"/>
            <w:rFonts w:ascii="Calibri" w:hAnsi="Calibri"/>
            <w:sz w:val="22"/>
            <w:szCs w:val="22"/>
          </w:rPr>
          <w:t>adamhall.com</w:t>
        </w:r>
      </w:hyperlink>
      <w:r w:rsidRPr="008F16DB">
        <w:rPr>
          <w:rFonts w:ascii="Calibri" w:hAnsi="Calibri"/>
          <w:sz w:val="22"/>
          <w:szCs w:val="22"/>
          <w:u w:val="single"/>
        </w:rPr>
        <w:br/>
      </w:r>
    </w:p>
    <w:p w14:paraId="7391DB7A" w14:textId="77777777" w:rsidR="007B6BAB" w:rsidRPr="00766A18" w:rsidRDefault="007B6BAB" w:rsidP="007B6BAB">
      <w:pPr>
        <w:pStyle w:val="KeinLeerraum"/>
        <w:rPr>
          <w:rFonts w:ascii="Calibri" w:hAnsi="Calibri"/>
          <w:b/>
          <w:color w:val="808080"/>
          <w:sz w:val="18"/>
        </w:rPr>
      </w:pPr>
      <w:r>
        <w:rPr>
          <w:rFonts w:ascii="Calibri" w:hAnsi="Calibri"/>
          <w:b/>
          <w:color w:val="808080"/>
          <w:sz w:val="18"/>
        </w:rPr>
        <w:t>Acerca de Adam Hall </w:t>
      </w:r>
      <w:proofErr w:type="spellStart"/>
      <w:r>
        <w:rPr>
          <w:rFonts w:ascii="Calibri" w:hAnsi="Calibri"/>
          <w:b/>
          <w:color w:val="808080"/>
          <w:sz w:val="18"/>
        </w:rPr>
        <w:t>Group</w:t>
      </w:r>
      <w:proofErr w:type="spellEnd"/>
    </w:p>
    <w:p w14:paraId="3D9DC996" w14:textId="77777777" w:rsidR="007B6BAB" w:rsidRPr="00D31732" w:rsidRDefault="007B6BAB" w:rsidP="007B6BAB">
      <w:pPr>
        <w:pStyle w:val="KeinLeerraum"/>
        <w:rPr>
          <w:rFonts w:ascii="Calibri" w:hAnsi="Calibri"/>
          <w:color w:val="808080"/>
          <w:sz w:val="18"/>
        </w:rPr>
      </w:pPr>
      <w:r>
        <w:rPr>
          <w:rFonts w:ascii="Calibri" w:hAnsi="Calibri"/>
          <w:color w:val="808080"/>
          <w:sz w:val="18"/>
        </w:rPr>
        <w:t xml:space="preserve">Adam Hall </w:t>
      </w:r>
      <w:proofErr w:type="spellStart"/>
      <w:r>
        <w:rPr>
          <w:rFonts w:ascii="Calibri" w:hAnsi="Calibri"/>
          <w:color w:val="808080"/>
          <w:sz w:val="18"/>
        </w:rPr>
        <w:t>Group</w:t>
      </w:r>
      <w:proofErr w:type="spellEnd"/>
      <w:r>
        <w:rPr>
          <w:rFonts w:ascii="Calibri" w:hAnsi="Calibri"/>
          <w:color w:val="808080"/>
          <w:sz w:val="18"/>
        </w:rPr>
        <w:t xml:space="preserve">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Pr>
          <w:rFonts w:ascii="Calibri" w:hAnsi="Calibri"/>
          <w:color w:val="808080"/>
          <w:sz w:val="18"/>
        </w:rPr>
        <w:t>flightcases</w:t>
      </w:r>
      <w:proofErr w:type="spellEnd"/>
      <w:r>
        <w:rPr>
          <w:rFonts w:ascii="Calibri" w:hAnsi="Calibri"/>
          <w:color w:val="808080"/>
          <w:sz w:val="18"/>
        </w:rPr>
        <w:t xml:space="preserve"> industriales. Con sus marcas </w:t>
      </w:r>
      <w:r w:rsidRPr="00766A18">
        <w:rPr>
          <w:rFonts w:ascii="Calibri" w:hAnsi="Calibri"/>
          <w:b/>
          <w:color w:val="808080"/>
          <w:sz w:val="18"/>
        </w:rPr>
        <w:t>LD </w:t>
      </w:r>
      <w:proofErr w:type="spellStart"/>
      <w:r w:rsidRPr="00766A18">
        <w:rPr>
          <w:rFonts w:ascii="Calibri" w:hAnsi="Calibri"/>
          <w:b/>
          <w:color w:val="808080"/>
          <w:sz w:val="18"/>
        </w:rPr>
        <w:t>Systems</w:t>
      </w:r>
      <w:proofErr w:type="spellEnd"/>
      <w:r w:rsidRPr="00766A18">
        <w:rPr>
          <w:rFonts w:ascii="Calibri" w:hAnsi="Calibri"/>
          <w:b/>
          <w:color w:val="808080"/>
          <w:sz w:val="18"/>
        </w:rPr>
        <w:t xml:space="preserve">®, Cameo®, </w:t>
      </w:r>
      <w:proofErr w:type="spellStart"/>
      <w:r w:rsidRPr="00766A18">
        <w:rPr>
          <w:rFonts w:ascii="Calibri" w:hAnsi="Calibri"/>
          <w:b/>
          <w:color w:val="808080"/>
          <w:sz w:val="18"/>
        </w:rPr>
        <w:t>Gravity</w:t>
      </w:r>
      <w:proofErr w:type="spellEnd"/>
      <w:r w:rsidRPr="00766A18">
        <w:rPr>
          <w:rFonts w:ascii="Calibri" w:hAnsi="Calibri"/>
          <w:b/>
          <w:color w:val="808080"/>
          <w:sz w:val="18"/>
        </w:rPr>
        <w:t>®, Defender®, Palmer® y Adam Hall®</w:t>
      </w:r>
      <w:r>
        <w:rPr>
          <w:rFonts w:ascii="Calibri" w:hAnsi="Calibri"/>
          <w:color w:val="808080"/>
          <w:sz w:val="18"/>
        </w:rPr>
        <w:t xml:space="preserve">, la empresa distribuye una amplia gama de equipos profesionales de audio e iluminación, así como equipamiento para escenario y hardware para </w:t>
      </w:r>
      <w:proofErr w:type="spellStart"/>
      <w:r>
        <w:rPr>
          <w:rFonts w:ascii="Calibri" w:hAnsi="Calibri"/>
          <w:color w:val="808080"/>
          <w:sz w:val="18"/>
        </w:rPr>
        <w:t>flightcases</w:t>
      </w:r>
      <w:proofErr w:type="spellEnd"/>
      <w:r>
        <w:rPr>
          <w:rFonts w:ascii="Calibri" w:hAnsi="Calibri"/>
          <w:color w:val="808080"/>
          <w:sz w:val="18"/>
        </w:rPr>
        <w:t xml:space="preserve">. Desde su fundación en 1975, Adam Hall </w:t>
      </w:r>
      <w:proofErr w:type="spellStart"/>
      <w:r>
        <w:rPr>
          <w:rFonts w:ascii="Calibri" w:hAnsi="Calibri"/>
          <w:color w:val="808080"/>
          <w:sz w:val="18"/>
        </w:rPr>
        <w:t>Group</w:t>
      </w:r>
      <w:proofErr w:type="spellEnd"/>
      <w:r>
        <w:rPr>
          <w:rFonts w:ascii="Calibri" w:hAnsi="Calibri"/>
          <w:color w:val="808080"/>
          <w:sz w:val="18"/>
        </w:rPr>
        <w:t xml:space="preserve">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w:t>
      </w:r>
      <w:proofErr w:type="spellStart"/>
      <w:r>
        <w:rPr>
          <w:rFonts w:ascii="Calibri" w:hAnsi="Calibri"/>
          <w:color w:val="808080"/>
          <w:sz w:val="18"/>
        </w:rPr>
        <w:t>Group</w:t>
      </w:r>
      <w:proofErr w:type="spellEnd"/>
      <w:r>
        <w:rPr>
          <w:rFonts w:ascii="Calibri" w:hAnsi="Calibri"/>
          <w:color w:val="808080"/>
          <w:sz w:val="18"/>
        </w:rPr>
        <w:t xml:space="preserve"> ya cuenta con toda una serie de reconocimientos internacionales concedidos por sus desarrollos innovadores y diseños pioneros por parte de diversas instituciones de prestigio tales como "Red </w:t>
      </w:r>
      <w:proofErr w:type="spellStart"/>
      <w:r>
        <w:rPr>
          <w:rFonts w:ascii="Calibri" w:hAnsi="Calibri"/>
          <w:color w:val="808080"/>
          <w:sz w:val="18"/>
        </w:rPr>
        <w:t>Dot</w:t>
      </w:r>
      <w:proofErr w:type="spellEnd"/>
      <w:r>
        <w:rPr>
          <w:rFonts w:ascii="Calibri" w:hAnsi="Calibri"/>
          <w:color w:val="808080"/>
          <w:sz w:val="18"/>
        </w:rPr>
        <w:t xml:space="preserve">",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e "</w:t>
      </w:r>
      <w:proofErr w:type="spellStart"/>
      <w:r>
        <w:rPr>
          <w:rFonts w:ascii="Calibri" w:hAnsi="Calibri"/>
          <w:color w:val="808080"/>
          <w:sz w:val="18"/>
        </w:rPr>
        <w:t>iF</w:t>
      </w:r>
      <w:proofErr w:type="spellEnd"/>
      <w:r>
        <w:rPr>
          <w:rFonts w:ascii="Calibri" w:hAnsi="Calibri"/>
          <w:color w:val="808080"/>
          <w:sz w:val="18"/>
        </w:rPr>
        <w:t xml:space="preserve"> Industrie </w:t>
      </w:r>
      <w:proofErr w:type="spellStart"/>
      <w:r>
        <w:rPr>
          <w:rFonts w:ascii="Calibri" w:hAnsi="Calibri"/>
          <w:color w:val="808080"/>
          <w:sz w:val="18"/>
        </w:rPr>
        <w:t>Forum</w:t>
      </w:r>
      <w:proofErr w:type="spellEnd"/>
      <w:r>
        <w:rPr>
          <w:rFonts w:ascii="Calibri" w:hAnsi="Calibri"/>
          <w:color w:val="808080"/>
          <w:sz w:val="18"/>
        </w:rPr>
        <w:t xml:space="preserve"> </w:t>
      </w:r>
      <w:proofErr w:type="spellStart"/>
      <w:r>
        <w:rPr>
          <w:rFonts w:ascii="Calibri" w:hAnsi="Calibri"/>
          <w:color w:val="808080"/>
          <w:sz w:val="18"/>
        </w:rPr>
        <w:t>Design</w:t>
      </w:r>
      <w:proofErr w:type="spellEnd"/>
      <w:r>
        <w:rPr>
          <w:rFonts w:ascii="Calibri" w:hAnsi="Calibri"/>
          <w:color w:val="808080"/>
          <w:sz w:val="18"/>
        </w:rPr>
        <w:t>". En colaboración con la agencia de diseño F. A. Porsche, LD </w:t>
      </w:r>
      <w:proofErr w:type="spellStart"/>
      <w:r>
        <w:rPr>
          <w:rFonts w:ascii="Calibri" w:hAnsi="Calibri"/>
          <w:color w:val="808080"/>
          <w:sz w:val="18"/>
        </w:rPr>
        <w:t>Systems</w:t>
      </w:r>
      <w:proofErr w:type="spellEnd"/>
      <w:r>
        <w:rPr>
          <w:rFonts w:ascii="Calibri" w:hAnsi="Calibri"/>
          <w:color w:val="808080"/>
          <w:sz w:val="18"/>
        </w:rPr>
        <w:t xml:space="preserve">® anticipa el futuro del diseño para audio profesional con su emblemática columna de altavoces MAUI® P900 y ha sido reconocido recientemente por ello con el codiciado premio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Más información sobre Adam Hall </w:t>
      </w:r>
      <w:proofErr w:type="spellStart"/>
      <w:r>
        <w:rPr>
          <w:rFonts w:ascii="Calibri" w:hAnsi="Calibri"/>
          <w:color w:val="808080"/>
          <w:sz w:val="18"/>
        </w:rPr>
        <w:t>Group</w:t>
      </w:r>
      <w:proofErr w:type="spellEnd"/>
      <w:r>
        <w:rPr>
          <w:rFonts w:ascii="Calibri" w:hAnsi="Calibri"/>
          <w:color w:val="808080"/>
          <w:sz w:val="18"/>
        </w:rPr>
        <w:t xml:space="preserve"> en el sitio web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5300F5D9" w14:textId="12B68F09" w:rsidR="000C2D39" w:rsidRPr="008F16DB" w:rsidRDefault="000C2D39" w:rsidP="007B6BAB">
      <w:pPr>
        <w:pStyle w:val="KeinLeerraum"/>
        <w:rPr>
          <w:rFonts w:ascii="Calibri" w:hAnsi="Calibri" w:cs="Calibri"/>
          <w:bCs/>
          <w:color w:val="808080" w:themeColor="background1" w:themeShade="80"/>
          <w:sz w:val="18"/>
          <w:szCs w:val="18"/>
        </w:rPr>
      </w:pPr>
    </w:p>
    <w:sectPr w:rsidR="000C2D39" w:rsidRPr="008F16DB"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2D26" w14:textId="77777777" w:rsidR="00861B15" w:rsidRDefault="00861B15" w:rsidP="004330C6">
      <w:r>
        <w:separator/>
      </w:r>
    </w:p>
  </w:endnote>
  <w:endnote w:type="continuationSeparator" w:id="0">
    <w:p w14:paraId="4981D3E7" w14:textId="77777777" w:rsidR="00861B15" w:rsidRDefault="00861B15" w:rsidP="004330C6">
      <w:r>
        <w:continuationSeparator/>
      </w:r>
    </w:p>
  </w:endnote>
  <w:endnote w:type="continuationNotice" w:id="1">
    <w:p w14:paraId="050C9B8A" w14:textId="77777777" w:rsidR="00861B15" w:rsidRDefault="00861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4131" w14:textId="77777777" w:rsidR="00861B15" w:rsidRDefault="00861B15" w:rsidP="004330C6">
      <w:r>
        <w:separator/>
      </w:r>
    </w:p>
  </w:footnote>
  <w:footnote w:type="continuationSeparator" w:id="0">
    <w:p w14:paraId="7158E84F" w14:textId="77777777" w:rsidR="00861B15" w:rsidRDefault="00861B15" w:rsidP="004330C6">
      <w:r>
        <w:continuationSeparator/>
      </w:r>
    </w:p>
  </w:footnote>
  <w:footnote w:type="continuationNotice" w:id="1">
    <w:p w14:paraId="5C20C053" w14:textId="77777777" w:rsidR="00861B15" w:rsidRDefault="00861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06731"/>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14E3"/>
    <w:rsid w:val="000A31D0"/>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477BD"/>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A6030"/>
    <w:rsid w:val="001B0461"/>
    <w:rsid w:val="001B7E2C"/>
    <w:rsid w:val="001C15E9"/>
    <w:rsid w:val="001C2BCB"/>
    <w:rsid w:val="001C5825"/>
    <w:rsid w:val="001C5D7F"/>
    <w:rsid w:val="001D3A0C"/>
    <w:rsid w:val="001D6B8D"/>
    <w:rsid w:val="001D6F99"/>
    <w:rsid w:val="001D7657"/>
    <w:rsid w:val="001E29E8"/>
    <w:rsid w:val="001E51CC"/>
    <w:rsid w:val="001E5DDF"/>
    <w:rsid w:val="001E7D25"/>
    <w:rsid w:val="001F0A36"/>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376"/>
    <w:rsid w:val="00243B58"/>
    <w:rsid w:val="0024709A"/>
    <w:rsid w:val="00247B14"/>
    <w:rsid w:val="00247EDB"/>
    <w:rsid w:val="00253E5A"/>
    <w:rsid w:val="002544C4"/>
    <w:rsid w:val="00262160"/>
    <w:rsid w:val="00264D9A"/>
    <w:rsid w:val="0027394B"/>
    <w:rsid w:val="00275B84"/>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2BF2"/>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13F1"/>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B76EB"/>
    <w:rsid w:val="003C3F56"/>
    <w:rsid w:val="003C7650"/>
    <w:rsid w:val="003C784B"/>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334"/>
    <w:rsid w:val="004B3599"/>
    <w:rsid w:val="004B39DF"/>
    <w:rsid w:val="004B5C13"/>
    <w:rsid w:val="004B6B8C"/>
    <w:rsid w:val="004C0829"/>
    <w:rsid w:val="004C0B62"/>
    <w:rsid w:val="004C33CB"/>
    <w:rsid w:val="004C3EC2"/>
    <w:rsid w:val="004D1323"/>
    <w:rsid w:val="004D54E9"/>
    <w:rsid w:val="004D64F3"/>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347BB"/>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C64A0"/>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A59"/>
    <w:rsid w:val="00747B4C"/>
    <w:rsid w:val="00753699"/>
    <w:rsid w:val="00760CDF"/>
    <w:rsid w:val="00772A02"/>
    <w:rsid w:val="00772F69"/>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6BAB"/>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C4C"/>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B15"/>
    <w:rsid w:val="00861FDF"/>
    <w:rsid w:val="008635C3"/>
    <w:rsid w:val="008669F6"/>
    <w:rsid w:val="008702A1"/>
    <w:rsid w:val="00870A92"/>
    <w:rsid w:val="0087242E"/>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C706C"/>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16DB"/>
    <w:rsid w:val="008F2D79"/>
    <w:rsid w:val="008F3AD1"/>
    <w:rsid w:val="008F6AC8"/>
    <w:rsid w:val="00900E5E"/>
    <w:rsid w:val="00902A95"/>
    <w:rsid w:val="00903328"/>
    <w:rsid w:val="00903C50"/>
    <w:rsid w:val="00904362"/>
    <w:rsid w:val="009043CD"/>
    <w:rsid w:val="00905794"/>
    <w:rsid w:val="00913A6C"/>
    <w:rsid w:val="0091412C"/>
    <w:rsid w:val="00916F1C"/>
    <w:rsid w:val="00920BFE"/>
    <w:rsid w:val="0092757C"/>
    <w:rsid w:val="00931251"/>
    <w:rsid w:val="00933D02"/>
    <w:rsid w:val="00936EFD"/>
    <w:rsid w:val="00940EAA"/>
    <w:rsid w:val="00944584"/>
    <w:rsid w:val="009449DC"/>
    <w:rsid w:val="00947AFA"/>
    <w:rsid w:val="0095102E"/>
    <w:rsid w:val="0095148D"/>
    <w:rsid w:val="00956BAC"/>
    <w:rsid w:val="00956CE1"/>
    <w:rsid w:val="00962CAB"/>
    <w:rsid w:val="009643EB"/>
    <w:rsid w:val="00965D32"/>
    <w:rsid w:val="00971B78"/>
    <w:rsid w:val="0097368B"/>
    <w:rsid w:val="009778CC"/>
    <w:rsid w:val="00981769"/>
    <w:rsid w:val="00983DED"/>
    <w:rsid w:val="00984953"/>
    <w:rsid w:val="00984A15"/>
    <w:rsid w:val="009865C4"/>
    <w:rsid w:val="00991719"/>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16A1"/>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5935"/>
    <w:rsid w:val="00AB70D1"/>
    <w:rsid w:val="00AB714D"/>
    <w:rsid w:val="00AC0AC7"/>
    <w:rsid w:val="00AC1756"/>
    <w:rsid w:val="00AC6A98"/>
    <w:rsid w:val="00AD4185"/>
    <w:rsid w:val="00AD56FA"/>
    <w:rsid w:val="00AE0BCA"/>
    <w:rsid w:val="00AE17AF"/>
    <w:rsid w:val="00AE7DC6"/>
    <w:rsid w:val="00AF5808"/>
    <w:rsid w:val="00AF5B54"/>
    <w:rsid w:val="00AF613A"/>
    <w:rsid w:val="00AF6B32"/>
    <w:rsid w:val="00B02624"/>
    <w:rsid w:val="00B03123"/>
    <w:rsid w:val="00B05AE5"/>
    <w:rsid w:val="00B07D6C"/>
    <w:rsid w:val="00B1016E"/>
    <w:rsid w:val="00B133D6"/>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25883"/>
    <w:rsid w:val="00C328A4"/>
    <w:rsid w:val="00C34EC8"/>
    <w:rsid w:val="00C3535E"/>
    <w:rsid w:val="00C37936"/>
    <w:rsid w:val="00C428E1"/>
    <w:rsid w:val="00C432CE"/>
    <w:rsid w:val="00C43AE4"/>
    <w:rsid w:val="00C45280"/>
    <w:rsid w:val="00C4796C"/>
    <w:rsid w:val="00C47DE7"/>
    <w:rsid w:val="00C51A87"/>
    <w:rsid w:val="00C568C5"/>
    <w:rsid w:val="00C5701E"/>
    <w:rsid w:val="00C617BB"/>
    <w:rsid w:val="00C66F10"/>
    <w:rsid w:val="00C718F3"/>
    <w:rsid w:val="00C73F0D"/>
    <w:rsid w:val="00C75511"/>
    <w:rsid w:val="00C77231"/>
    <w:rsid w:val="00C77975"/>
    <w:rsid w:val="00C7798D"/>
    <w:rsid w:val="00C81614"/>
    <w:rsid w:val="00C85C87"/>
    <w:rsid w:val="00C86DA4"/>
    <w:rsid w:val="00C87249"/>
    <w:rsid w:val="00C87824"/>
    <w:rsid w:val="00C87CDB"/>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19A"/>
    <w:rsid w:val="00D90B71"/>
    <w:rsid w:val="00D90F15"/>
    <w:rsid w:val="00D915C1"/>
    <w:rsid w:val="00D93288"/>
    <w:rsid w:val="00DA1C53"/>
    <w:rsid w:val="00DA2287"/>
    <w:rsid w:val="00DB040D"/>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218"/>
    <w:rsid w:val="00E12EB4"/>
    <w:rsid w:val="00E1435A"/>
    <w:rsid w:val="00E1626C"/>
    <w:rsid w:val="00E20D31"/>
    <w:rsid w:val="00E22AAF"/>
    <w:rsid w:val="00E24D88"/>
    <w:rsid w:val="00E27239"/>
    <w:rsid w:val="00E33E5E"/>
    <w:rsid w:val="00E3553A"/>
    <w:rsid w:val="00E3693F"/>
    <w:rsid w:val="00E36E62"/>
    <w:rsid w:val="00E374A2"/>
    <w:rsid w:val="00E4607C"/>
    <w:rsid w:val="00E505C9"/>
    <w:rsid w:val="00E50721"/>
    <w:rsid w:val="00E62699"/>
    <w:rsid w:val="00E656F4"/>
    <w:rsid w:val="00E65984"/>
    <w:rsid w:val="00E72BA6"/>
    <w:rsid w:val="00E72D4D"/>
    <w:rsid w:val="00E7519F"/>
    <w:rsid w:val="00E8278D"/>
    <w:rsid w:val="00E83946"/>
    <w:rsid w:val="00E84890"/>
    <w:rsid w:val="00E84E6D"/>
    <w:rsid w:val="00E8654F"/>
    <w:rsid w:val="00E86932"/>
    <w:rsid w:val="00E914A3"/>
    <w:rsid w:val="00E93185"/>
    <w:rsid w:val="00E9343B"/>
    <w:rsid w:val="00E93ACA"/>
    <w:rsid w:val="00E94C2E"/>
    <w:rsid w:val="00E9699A"/>
    <w:rsid w:val="00EA0AA7"/>
    <w:rsid w:val="00EA107B"/>
    <w:rsid w:val="00EA1913"/>
    <w:rsid w:val="00EB09AA"/>
    <w:rsid w:val="00EB2DAA"/>
    <w:rsid w:val="00EB372F"/>
    <w:rsid w:val="00EB4FE9"/>
    <w:rsid w:val="00EB7DE7"/>
    <w:rsid w:val="00EB7E31"/>
    <w:rsid w:val="00EC19FF"/>
    <w:rsid w:val="00EC5E6B"/>
    <w:rsid w:val="00ED15C9"/>
    <w:rsid w:val="00ED5FC7"/>
    <w:rsid w:val="00EE0A6D"/>
    <w:rsid w:val="00EE0F8A"/>
    <w:rsid w:val="00EE3473"/>
    <w:rsid w:val="00EF0FD3"/>
    <w:rsid w:val="00EF18B8"/>
    <w:rsid w:val="00EF5D9F"/>
    <w:rsid w:val="00EF78D6"/>
    <w:rsid w:val="00F00931"/>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1C49"/>
    <w:rsid w:val="00F43EA8"/>
    <w:rsid w:val="00F46090"/>
    <w:rsid w:val="00F47AB1"/>
    <w:rsid w:val="00F5035A"/>
    <w:rsid w:val="00F54C7F"/>
    <w:rsid w:val="00F57AD8"/>
    <w:rsid w:val="00F61F09"/>
    <w:rsid w:val="00F62431"/>
    <w:rsid w:val="00F64766"/>
    <w:rsid w:val="00F72F13"/>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3126"/>
    <w:rsid w:val="00FB467A"/>
    <w:rsid w:val="00FB796E"/>
    <w:rsid w:val="00FC2346"/>
    <w:rsid w:val="00FC505E"/>
    <w:rsid w:val="00FC51BC"/>
    <w:rsid w:val="00FD6037"/>
    <w:rsid w:val="00FD63AF"/>
    <w:rsid w:val="00FD7B03"/>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es-ES"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kZTr9wRMyG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ameolight.com/otos-line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86C11F-C4C6-4ACA-BE6B-6AA8015E0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37132-7286-498B-AFF6-4C09D04C3DB1}">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2472C3F2-73FD-45FA-BD92-EA96026D8D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870</Words>
  <Characters>5482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35</cp:revision>
  <cp:lastPrinted>2026-04-20T06:30:00Z</cp:lastPrinted>
  <dcterms:created xsi:type="dcterms:W3CDTF">2024-07-17T13:43:00Z</dcterms:created>
  <dcterms:modified xsi:type="dcterms:W3CDTF">2026-04-22T13:33:00Z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